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DB" w:rsidRDefault="009221DB"/>
    <w:p w:rsidR="00195387" w:rsidRDefault="00195387" w:rsidP="001333D0">
      <w:pPr>
        <w:ind w:left="708" w:firstLine="708"/>
        <w:jc w:val="center"/>
        <w:rPr>
          <w:sz w:val="28"/>
          <w:szCs w:val="28"/>
        </w:rPr>
      </w:pPr>
    </w:p>
    <w:p w:rsidR="00372F57" w:rsidRDefault="00372F57" w:rsidP="001333D0">
      <w:pPr>
        <w:ind w:left="708" w:firstLine="708"/>
        <w:jc w:val="center"/>
        <w:rPr>
          <w:rFonts w:ascii="Times New Roman" w:hAnsi="Times New Roman" w:cs="Times New Roman"/>
          <w:b/>
          <w:sz w:val="28"/>
          <w:szCs w:val="28"/>
        </w:rPr>
      </w:pPr>
    </w:p>
    <w:p w:rsidR="002D73AC" w:rsidRPr="00372F57" w:rsidRDefault="002D73AC" w:rsidP="001333D0">
      <w:pPr>
        <w:ind w:left="708" w:firstLine="708"/>
        <w:jc w:val="center"/>
        <w:rPr>
          <w:rFonts w:ascii="Times New Roman" w:hAnsi="Times New Roman" w:cs="Times New Roman"/>
          <w:b/>
          <w:sz w:val="26"/>
          <w:szCs w:val="26"/>
        </w:rPr>
      </w:pPr>
      <w:bookmarkStart w:id="0" w:name="_GoBack"/>
      <w:r w:rsidRPr="00372F57">
        <w:rPr>
          <w:rFonts w:ascii="Times New Roman" w:hAnsi="Times New Roman" w:cs="Times New Roman"/>
          <w:b/>
          <w:sz w:val="26"/>
          <w:szCs w:val="26"/>
        </w:rPr>
        <w:t xml:space="preserve">MEMORIA E METODOLOGIA DE </w:t>
      </w:r>
      <w:r w:rsidR="00174EF0" w:rsidRPr="00372F57">
        <w:rPr>
          <w:rFonts w:ascii="Times New Roman" w:hAnsi="Times New Roman" w:cs="Times New Roman"/>
          <w:b/>
          <w:sz w:val="26"/>
          <w:szCs w:val="26"/>
        </w:rPr>
        <w:t>CÁLCU</w:t>
      </w:r>
      <w:bookmarkEnd w:id="0"/>
      <w:r w:rsidR="00174EF0" w:rsidRPr="00372F57">
        <w:rPr>
          <w:rFonts w:ascii="Times New Roman" w:hAnsi="Times New Roman" w:cs="Times New Roman"/>
          <w:b/>
          <w:sz w:val="26"/>
          <w:szCs w:val="26"/>
        </w:rPr>
        <w:t>LO PARA O ORÇAMENTO DE 20</w:t>
      </w:r>
      <w:r w:rsidR="005F660C" w:rsidRPr="00372F57">
        <w:rPr>
          <w:rFonts w:ascii="Times New Roman" w:hAnsi="Times New Roman" w:cs="Times New Roman"/>
          <w:b/>
          <w:sz w:val="26"/>
          <w:szCs w:val="26"/>
        </w:rPr>
        <w:t>2</w:t>
      </w:r>
      <w:r w:rsidR="00B97F2B" w:rsidRPr="00372F57">
        <w:rPr>
          <w:rFonts w:ascii="Times New Roman" w:hAnsi="Times New Roman" w:cs="Times New Roman"/>
          <w:b/>
          <w:sz w:val="26"/>
          <w:szCs w:val="26"/>
        </w:rPr>
        <w:t>1</w:t>
      </w:r>
      <w:r w:rsidR="005F660C" w:rsidRPr="00372F57">
        <w:rPr>
          <w:rFonts w:ascii="Times New Roman" w:hAnsi="Times New Roman" w:cs="Times New Roman"/>
          <w:b/>
          <w:sz w:val="26"/>
          <w:szCs w:val="26"/>
        </w:rPr>
        <w:t>.</w:t>
      </w:r>
    </w:p>
    <w:p w:rsidR="00195387" w:rsidRPr="003940AC" w:rsidRDefault="003940AC" w:rsidP="003940AC">
      <w:pPr>
        <w:jc w:val="both"/>
        <w:rPr>
          <w:rFonts w:ascii="Times New Roman" w:hAnsi="Times New Roman" w:cs="Times New Roman"/>
          <w:sz w:val="24"/>
          <w:szCs w:val="24"/>
        </w:rPr>
      </w:pPr>
      <w:r>
        <w:rPr>
          <w:sz w:val="28"/>
          <w:szCs w:val="28"/>
        </w:rPr>
        <w:tab/>
      </w:r>
      <w:r w:rsidRPr="003940AC">
        <w:rPr>
          <w:rFonts w:ascii="Times New Roman" w:hAnsi="Times New Roman" w:cs="Times New Roman"/>
          <w:sz w:val="24"/>
          <w:szCs w:val="24"/>
        </w:rPr>
        <w:t>Os valores referentes aos exercícios de 201</w:t>
      </w:r>
      <w:r w:rsidR="00B97F2B">
        <w:rPr>
          <w:rFonts w:ascii="Times New Roman" w:hAnsi="Times New Roman" w:cs="Times New Roman"/>
          <w:sz w:val="24"/>
          <w:szCs w:val="24"/>
        </w:rPr>
        <w:t>7</w:t>
      </w:r>
      <w:r w:rsidRPr="003940AC">
        <w:rPr>
          <w:rFonts w:ascii="Times New Roman" w:hAnsi="Times New Roman" w:cs="Times New Roman"/>
          <w:sz w:val="24"/>
          <w:szCs w:val="24"/>
        </w:rPr>
        <w:t>,</w:t>
      </w:r>
      <w:r w:rsidR="00F871B7">
        <w:rPr>
          <w:rFonts w:ascii="Times New Roman" w:hAnsi="Times New Roman" w:cs="Times New Roman"/>
          <w:sz w:val="24"/>
          <w:szCs w:val="24"/>
        </w:rPr>
        <w:t xml:space="preserve"> </w:t>
      </w:r>
      <w:r w:rsidRPr="003940AC">
        <w:rPr>
          <w:rFonts w:ascii="Times New Roman" w:hAnsi="Times New Roman" w:cs="Times New Roman"/>
          <w:sz w:val="24"/>
          <w:szCs w:val="24"/>
        </w:rPr>
        <w:t>201</w:t>
      </w:r>
      <w:r w:rsidR="00B97F2B">
        <w:rPr>
          <w:rFonts w:ascii="Times New Roman" w:hAnsi="Times New Roman" w:cs="Times New Roman"/>
          <w:sz w:val="24"/>
          <w:szCs w:val="24"/>
        </w:rPr>
        <w:t>8</w:t>
      </w:r>
      <w:r w:rsidRPr="003940AC">
        <w:rPr>
          <w:rFonts w:ascii="Times New Roman" w:hAnsi="Times New Roman" w:cs="Times New Roman"/>
          <w:sz w:val="24"/>
          <w:szCs w:val="24"/>
        </w:rPr>
        <w:t xml:space="preserve"> e 201</w:t>
      </w:r>
      <w:r w:rsidR="00B97F2B">
        <w:rPr>
          <w:rFonts w:ascii="Times New Roman" w:hAnsi="Times New Roman" w:cs="Times New Roman"/>
          <w:sz w:val="24"/>
          <w:szCs w:val="24"/>
        </w:rPr>
        <w:t>9</w:t>
      </w:r>
      <w:r w:rsidRPr="003940AC">
        <w:rPr>
          <w:rFonts w:ascii="Times New Roman" w:hAnsi="Times New Roman" w:cs="Times New Roman"/>
          <w:sz w:val="24"/>
          <w:szCs w:val="24"/>
        </w:rPr>
        <w:t xml:space="preserve"> foram obtidos a partir dos dados constantes nos respectivos balanços anuais.</w:t>
      </w:r>
    </w:p>
    <w:p w:rsidR="00004760" w:rsidRDefault="00004760" w:rsidP="00004760">
      <w:pPr>
        <w:jc w:val="both"/>
        <w:rPr>
          <w:rFonts w:ascii="Times New Roman" w:hAnsi="Times New Roman" w:cs="Times New Roman"/>
          <w:sz w:val="24"/>
          <w:szCs w:val="24"/>
        </w:rPr>
      </w:pPr>
      <w:r>
        <w:rPr>
          <w:sz w:val="28"/>
          <w:szCs w:val="28"/>
        </w:rPr>
        <w:tab/>
      </w:r>
      <w:r w:rsidRPr="00004760">
        <w:rPr>
          <w:rFonts w:ascii="Times New Roman" w:hAnsi="Times New Roman" w:cs="Times New Roman"/>
          <w:sz w:val="24"/>
          <w:szCs w:val="24"/>
        </w:rPr>
        <w:t xml:space="preserve">Os </w:t>
      </w:r>
      <w:r>
        <w:rPr>
          <w:rFonts w:ascii="Times New Roman" w:hAnsi="Times New Roman" w:cs="Times New Roman"/>
          <w:sz w:val="24"/>
          <w:szCs w:val="24"/>
        </w:rPr>
        <w:t xml:space="preserve">valores estimados para </w:t>
      </w:r>
      <w:r w:rsidR="0016310C">
        <w:rPr>
          <w:rFonts w:ascii="Times New Roman" w:hAnsi="Times New Roman" w:cs="Times New Roman"/>
          <w:sz w:val="24"/>
          <w:szCs w:val="24"/>
        </w:rPr>
        <w:t>a arrecadação da receita em 20</w:t>
      </w:r>
      <w:r w:rsidR="005F660C">
        <w:rPr>
          <w:rFonts w:ascii="Times New Roman" w:hAnsi="Times New Roman" w:cs="Times New Roman"/>
          <w:sz w:val="24"/>
          <w:szCs w:val="24"/>
        </w:rPr>
        <w:t>2</w:t>
      </w:r>
      <w:r w:rsidR="00B97F2B">
        <w:rPr>
          <w:rFonts w:ascii="Times New Roman" w:hAnsi="Times New Roman" w:cs="Times New Roman"/>
          <w:sz w:val="24"/>
          <w:szCs w:val="24"/>
        </w:rPr>
        <w:t>1</w:t>
      </w:r>
      <w:r>
        <w:rPr>
          <w:rFonts w:ascii="Times New Roman" w:hAnsi="Times New Roman" w:cs="Times New Roman"/>
          <w:sz w:val="24"/>
          <w:szCs w:val="24"/>
        </w:rPr>
        <w:t xml:space="preserve"> </w:t>
      </w:r>
      <w:r w:rsidR="005435F9">
        <w:rPr>
          <w:rFonts w:ascii="Times New Roman" w:hAnsi="Times New Roman" w:cs="Times New Roman"/>
          <w:sz w:val="24"/>
          <w:szCs w:val="24"/>
        </w:rPr>
        <w:t>serão</w:t>
      </w:r>
      <w:r>
        <w:rPr>
          <w:rFonts w:ascii="Times New Roman" w:hAnsi="Times New Roman" w:cs="Times New Roman"/>
          <w:sz w:val="24"/>
          <w:szCs w:val="24"/>
        </w:rPr>
        <w:t xml:space="preserve"> calculados com base na receita arrecadada até o</w:t>
      </w:r>
      <w:r w:rsidR="005435F9">
        <w:rPr>
          <w:rFonts w:ascii="Times New Roman" w:hAnsi="Times New Roman" w:cs="Times New Roman"/>
          <w:sz w:val="24"/>
          <w:szCs w:val="24"/>
        </w:rPr>
        <w:t xml:space="preserve"> final do</w:t>
      </w:r>
      <w:r>
        <w:rPr>
          <w:rFonts w:ascii="Times New Roman" w:hAnsi="Times New Roman" w:cs="Times New Roman"/>
          <w:sz w:val="24"/>
          <w:szCs w:val="24"/>
        </w:rPr>
        <w:t xml:space="preserve"> mês de Setembro de 20</w:t>
      </w:r>
      <w:r w:rsidR="00B97F2B">
        <w:rPr>
          <w:rFonts w:ascii="Times New Roman" w:hAnsi="Times New Roman" w:cs="Times New Roman"/>
          <w:sz w:val="24"/>
          <w:szCs w:val="24"/>
        </w:rPr>
        <w:t>20</w:t>
      </w:r>
      <w:r>
        <w:rPr>
          <w:rFonts w:ascii="Times New Roman" w:hAnsi="Times New Roman" w:cs="Times New Roman"/>
          <w:sz w:val="24"/>
          <w:szCs w:val="24"/>
        </w:rPr>
        <w:t>, acrescida da tendência de arrecada</w:t>
      </w:r>
      <w:r w:rsidR="00CA0B08">
        <w:rPr>
          <w:rFonts w:ascii="Times New Roman" w:hAnsi="Times New Roman" w:cs="Times New Roman"/>
          <w:sz w:val="24"/>
          <w:szCs w:val="24"/>
        </w:rPr>
        <w:t>ção até o final deste exercício</w:t>
      </w:r>
      <w:r w:rsidR="00656E6D">
        <w:rPr>
          <w:rFonts w:ascii="Times New Roman" w:hAnsi="Times New Roman" w:cs="Times New Roman"/>
          <w:sz w:val="24"/>
          <w:szCs w:val="24"/>
        </w:rPr>
        <w:t xml:space="preserve"> e indicadores conforme tabela abaixo.</w:t>
      </w:r>
    </w:p>
    <w:p w:rsidR="00645284" w:rsidRDefault="00004760" w:rsidP="00004760">
      <w:pPr>
        <w:jc w:val="both"/>
        <w:rPr>
          <w:rFonts w:ascii="Times New Roman" w:hAnsi="Times New Roman" w:cs="Times New Roman"/>
          <w:sz w:val="24"/>
          <w:szCs w:val="24"/>
        </w:rPr>
      </w:pPr>
      <w:r>
        <w:rPr>
          <w:rFonts w:ascii="Times New Roman" w:hAnsi="Times New Roman" w:cs="Times New Roman"/>
          <w:sz w:val="24"/>
          <w:szCs w:val="24"/>
        </w:rPr>
        <w:tab/>
        <w:t>Em linhas gerais, nas pr</w:t>
      </w:r>
      <w:r w:rsidR="0016310C">
        <w:rPr>
          <w:rFonts w:ascii="Times New Roman" w:hAnsi="Times New Roman" w:cs="Times New Roman"/>
          <w:sz w:val="24"/>
          <w:szCs w:val="24"/>
        </w:rPr>
        <w:t>ojeções para o exercício de 20</w:t>
      </w:r>
      <w:r w:rsidR="00CB31FA">
        <w:rPr>
          <w:rFonts w:ascii="Times New Roman" w:hAnsi="Times New Roman" w:cs="Times New Roman"/>
          <w:sz w:val="24"/>
          <w:szCs w:val="24"/>
        </w:rPr>
        <w:t>2</w:t>
      </w:r>
      <w:r w:rsidR="00B97F2B">
        <w:rPr>
          <w:rFonts w:ascii="Times New Roman" w:hAnsi="Times New Roman" w:cs="Times New Roman"/>
          <w:sz w:val="24"/>
          <w:szCs w:val="24"/>
        </w:rPr>
        <w:t>1</w:t>
      </w:r>
      <w:r>
        <w:rPr>
          <w:rFonts w:ascii="Times New Roman" w:hAnsi="Times New Roman" w:cs="Times New Roman"/>
          <w:sz w:val="24"/>
          <w:szCs w:val="24"/>
        </w:rPr>
        <w:t xml:space="preserve">, o cenário sinaliza um crescimento </w:t>
      </w:r>
      <w:r w:rsidR="00645284">
        <w:rPr>
          <w:rFonts w:ascii="Times New Roman" w:hAnsi="Times New Roman" w:cs="Times New Roman"/>
          <w:sz w:val="24"/>
          <w:szCs w:val="24"/>
        </w:rPr>
        <w:t xml:space="preserve">médio </w:t>
      </w:r>
      <w:r>
        <w:rPr>
          <w:rFonts w:ascii="Times New Roman" w:hAnsi="Times New Roman" w:cs="Times New Roman"/>
          <w:sz w:val="24"/>
          <w:szCs w:val="24"/>
        </w:rPr>
        <w:t>global das r</w:t>
      </w:r>
      <w:r w:rsidR="007A377D">
        <w:rPr>
          <w:rFonts w:ascii="Times New Roman" w:hAnsi="Times New Roman" w:cs="Times New Roman"/>
          <w:sz w:val="24"/>
          <w:szCs w:val="24"/>
        </w:rPr>
        <w:t xml:space="preserve">eceitas </w:t>
      </w:r>
      <w:r w:rsidR="007A377D" w:rsidRPr="00745F04">
        <w:rPr>
          <w:rFonts w:ascii="Times New Roman" w:hAnsi="Times New Roman" w:cs="Times New Roman"/>
          <w:sz w:val="24"/>
          <w:szCs w:val="24"/>
        </w:rPr>
        <w:t>em torno de</w:t>
      </w:r>
      <w:r w:rsidR="00C41CBC">
        <w:rPr>
          <w:rFonts w:ascii="Times New Roman" w:hAnsi="Times New Roman" w:cs="Times New Roman"/>
          <w:sz w:val="24"/>
          <w:szCs w:val="24"/>
        </w:rPr>
        <w:t xml:space="preserve"> </w:t>
      </w:r>
      <w:r w:rsidR="00155C65">
        <w:rPr>
          <w:rFonts w:ascii="Times New Roman" w:hAnsi="Times New Roman" w:cs="Times New Roman"/>
          <w:sz w:val="24"/>
          <w:szCs w:val="24"/>
        </w:rPr>
        <w:t>6,50</w:t>
      </w:r>
      <w:r w:rsidR="00C41CBC">
        <w:rPr>
          <w:rFonts w:ascii="Times New Roman" w:hAnsi="Times New Roman" w:cs="Times New Roman"/>
          <w:sz w:val="24"/>
          <w:szCs w:val="24"/>
        </w:rPr>
        <w:t xml:space="preserve"> </w:t>
      </w:r>
      <w:r w:rsidR="00645284" w:rsidRPr="00745F04">
        <w:rPr>
          <w:rFonts w:ascii="Times New Roman" w:hAnsi="Times New Roman" w:cs="Times New Roman"/>
          <w:sz w:val="24"/>
          <w:szCs w:val="24"/>
        </w:rPr>
        <w:t>%</w:t>
      </w:r>
      <w:r w:rsidR="00645284">
        <w:rPr>
          <w:rFonts w:ascii="Times New Roman" w:hAnsi="Times New Roman" w:cs="Times New Roman"/>
          <w:sz w:val="24"/>
          <w:szCs w:val="24"/>
        </w:rPr>
        <w:t xml:space="preserve"> em relação </w:t>
      </w:r>
      <w:r w:rsidR="00F871B7">
        <w:rPr>
          <w:rFonts w:ascii="Times New Roman" w:hAnsi="Times New Roman" w:cs="Times New Roman"/>
          <w:sz w:val="24"/>
          <w:szCs w:val="24"/>
        </w:rPr>
        <w:t>à previsão de</w:t>
      </w:r>
      <w:r w:rsidR="00645284">
        <w:rPr>
          <w:rFonts w:ascii="Times New Roman" w:hAnsi="Times New Roman" w:cs="Times New Roman"/>
          <w:sz w:val="24"/>
          <w:szCs w:val="24"/>
        </w:rPr>
        <w:t xml:space="preserve"> arrecada</w:t>
      </w:r>
      <w:r w:rsidR="00F871B7">
        <w:rPr>
          <w:rFonts w:ascii="Times New Roman" w:hAnsi="Times New Roman" w:cs="Times New Roman"/>
          <w:sz w:val="24"/>
          <w:szCs w:val="24"/>
        </w:rPr>
        <w:t>ção</w:t>
      </w:r>
      <w:r>
        <w:rPr>
          <w:rFonts w:ascii="Times New Roman" w:hAnsi="Times New Roman" w:cs="Times New Roman"/>
          <w:sz w:val="24"/>
          <w:szCs w:val="24"/>
        </w:rPr>
        <w:t xml:space="preserve"> </w:t>
      </w:r>
      <w:r w:rsidR="00645284">
        <w:rPr>
          <w:rFonts w:ascii="Times New Roman" w:hAnsi="Times New Roman" w:cs="Times New Roman"/>
          <w:sz w:val="24"/>
          <w:szCs w:val="24"/>
        </w:rPr>
        <w:t>no exercício de 20</w:t>
      </w:r>
      <w:r w:rsidR="00372F57">
        <w:rPr>
          <w:rFonts w:ascii="Times New Roman" w:hAnsi="Times New Roman" w:cs="Times New Roman"/>
          <w:sz w:val="24"/>
          <w:szCs w:val="24"/>
        </w:rPr>
        <w:t>20</w:t>
      </w:r>
      <w:r w:rsidR="00645284">
        <w:rPr>
          <w:rFonts w:ascii="Times New Roman" w:hAnsi="Times New Roman" w:cs="Times New Roman"/>
          <w:sz w:val="24"/>
          <w:szCs w:val="24"/>
        </w:rPr>
        <w:t>, considerando a inflação projetada</w:t>
      </w:r>
      <w:r w:rsidR="00155C65">
        <w:rPr>
          <w:rFonts w:ascii="Times New Roman" w:hAnsi="Times New Roman" w:cs="Times New Roman"/>
          <w:sz w:val="24"/>
          <w:szCs w:val="24"/>
        </w:rPr>
        <w:t xml:space="preserve"> e o PIB para o próximo ano.</w:t>
      </w:r>
    </w:p>
    <w:p w:rsidR="00372F57" w:rsidRDefault="004B5120" w:rsidP="00645284">
      <w:pPr>
        <w:ind w:firstLine="708"/>
        <w:jc w:val="both"/>
        <w:rPr>
          <w:rFonts w:ascii="Times New Roman" w:hAnsi="Times New Roman" w:cs="Times New Roman"/>
          <w:sz w:val="24"/>
          <w:szCs w:val="24"/>
        </w:rPr>
      </w:pPr>
      <w:r>
        <w:rPr>
          <w:rFonts w:ascii="Times New Roman" w:hAnsi="Times New Roman" w:cs="Times New Roman"/>
          <w:sz w:val="24"/>
          <w:szCs w:val="24"/>
        </w:rPr>
        <w:t xml:space="preserve">O pressuposto geral de comportamento da Receita Municipal é o da existência de uma correlação do comportamento dessa receita com o desempenho dos agregados macroeconômicos. Além disso, </w:t>
      </w:r>
      <w:proofErr w:type="gramStart"/>
      <w:r>
        <w:rPr>
          <w:rFonts w:ascii="Times New Roman" w:hAnsi="Times New Roman" w:cs="Times New Roman"/>
          <w:sz w:val="24"/>
          <w:szCs w:val="24"/>
        </w:rPr>
        <w:t>pressupõe-se</w:t>
      </w:r>
      <w:proofErr w:type="gramEnd"/>
      <w:r>
        <w:rPr>
          <w:rFonts w:ascii="Times New Roman" w:hAnsi="Times New Roman" w:cs="Times New Roman"/>
          <w:sz w:val="24"/>
          <w:szCs w:val="24"/>
        </w:rPr>
        <w:t xml:space="preserve"> em algumas receitas diretamente arrecadadas pelo Município, que as taxas de crescimento real sejam maiores, devido aos esforços de melhoria de gestão e diminuição de inadimplência. </w:t>
      </w:r>
    </w:p>
    <w:p w:rsidR="004B5120" w:rsidRDefault="004B5120" w:rsidP="00645284">
      <w:pPr>
        <w:ind w:firstLine="708"/>
        <w:jc w:val="both"/>
        <w:rPr>
          <w:rFonts w:ascii="Times New Roman" w:hAnsi="Times New Roman" w:cs="Times New Roman"/>
          <w:sz w:val="24"/>
          <w:szCs w:val="24"/>
        </w:rPr>
      </w:pPr>
      <w:r>
        <w:rPr>
          <w:rFonts w:ascii="Times New Roman" w:hAnsi="Times New Roman" w:cs="Times New Roman"/>
          <w:sz w:val="24"/>
          <w:szCs w:val="24"/>
        </w:rPr>
        <w:t xml:space="preserve">Os indicadores macroeconômicos básicos utilizados para a estimativa </w:t>
      </w:r>
      <w:r w:rsidR="002A10C7">
        <w:rPr>
          <w:rFonts w:ascii="Times New Roman" w:hAnsi="Times New Roman" w:cs="Times New Roman"/>
          <w:sz w:val="24"/>
          <w:szCs w:val="24"/>
        </w:rPr>
        <w:t>das receitas</w:t>
      </w:r>
      <w:r>
        <w:rPr>
          <w:rFonts w:ascii="Times New Roman" w:hAnsi="Times New Roman" w:cs="Times New Roman"/>
          <w:sz w:val="24"/>
          <w:szCs w:val="24"/>
        </w:rPr>
        <w:t xml:space="preserve"> e despesas </w:t>
      </w:r>
      <w:r w:rsidR="005435F9">
        <w:rPr>
          <w:rFonts w:ascii="Times New Roman" w:hAnsi="Times New Roman" w:cs="Times New Roman"/>
          <w:sz w:val="24"/>
          <w:szCs w:val="24"/>
        </w:rPr>
        <w:t>são</w:t>
      </w:r>
      <w:r>
        <w:rPr>
          <w:rFonts w:ascii="Times New Roman" w:hAnsi="Times New Roman" w:cs="Times New Roman"/>
          <w:sz w:val="24"/>
          <w:szCs w:val="24"/>
        </w:rPr>
        <w:t>:</w:t>
      </w:r>
    </w:p>
    <w:tbl>
      <w:tblPr>
        <w:tblStyle w:val="Tabelacomgrade"/>
        <w:tblW w:w="0" w:type="auto"/>
        <w:tblInd w:w="675" w:type="dxa"/>
        <w:tblLook w:val="04A0" w:firstRow="1" w:lastRow="0" w:firstColumn="1" w:lastColumn="0" w:noHBand="0" w:noVBand="1"/>
      </w:tblPr>
      <w:tblGrid>
        <w:gridCol w:w="4962"/>
        <w:gridCol w:w="3543"/>
      </w:tblGrid>
      <w:tr w:rsidR="004B5120" w:rsidTr="003854CF">
        <w:tc>
          <w:tcPr>
            <w:tcW w:w="4962" w:type="dxa"/>
          </w:tcPr>
          <w:p w:rsidR="004B5120" w:rsidRDefault="00962F1C" w:rsidP="00962F1C">
            <w:pPr>
              <w:jc w:val="center"/>
              <w:rPr>
                <w:rFonts w:ascii="Times New Roman" w:hAnsi="Times New Roman" w:cs="Times New Roman"/>
                <w:sz w:val="24"/>
                <w:szCs w:val="24"/>
              </w:rPr>
            </w:pPr>
            <w:r>
              <w:rPr>
                <w:rFonts w:ascii="Times New Roman" w:hAnsi="Times New Roman" w:cs="Times New Roman"/>
                <w:sz w:val="24"/>
                <w:szCs w:val="24"/>
              </w:rPr>
              <w:t>Indicador</w:t>
            </w:r>
          </w:p>
        </w:tc>
        <w:tc>
          <w:tcPr>
            <w:tcW w:w="3543" w:type="dxa"/>
          </w:tcPr>
          <w:p w:rsidR="004B5120" w:rsidRDefault="00B97F2B" w:rsidP="003854CF">
            <w:pPr>
              <w:jc w:val="center"/>
              <w:rPr>
                <w:rFonts w:ascii="Times New Roman" w:hAnsi="Times New Roman" w:cs="Times New Roman"/>
                <w:sz w:val="24"/>
                <w:szCs w:val="24"/>
              </w:rPr>
            </w:pPr>
            <w:r>
              <w:rPr>
                <w:rFonts w:ascii="Times New Roman" w:hAnsi="Times New Roman" w:cs="Times New Roman"/>
                <w:sz w:val="24"/>
                <w:szCs w:val="24"/>
              </w:rPr>
              <w:t>2021</w:t>
            </w:r>
          </w:p>
        </w:tc>
      </w:tr>
      <w:tr w:rsidR="004B5120" w:rsidTr="003854CF">
        <w:tc>
          <w:tcPr>
            <w:tcW w:w="4962" w:type="dxa"/>
          </w:tcPr>
          <w:p w:rsidR="004B5120" w:rsidRDefault="004B5120" w:rsidP="00645284">
            <w:pPr>
              <w:jc w:val="both"/>
              <w:rPr>
                <w:rFonts w:ascii="Times New Roman" w:hAnsi="Times New Roman" w:cs="Times New Roman"/>
                <w:sz w:val="24"/>
                <w:szCs w:val="24"/>
              </w:rPr>
            </w:pPr>
            <w:r>
              <w:rPr>
                <w:rFonts w:ascii="Times New Roman" w:hAnsi="Times New Roman" w:cs="Times New Roman"/>
                <w:sz w:val="24"/>
                <w:szCs w:val="24"/>
              </w:rPr>
              <w:t>Inflação Média Anual IPCA</w:t>
            </w:r>
          </w:p>
        </w:tc>
        <w:tc>
          <w:tcPr>
            <w:tcW w:w="3543" w:type="dxa"/>
          </w:tcPr>
          <w:p w:rsidR="004B5120" w:rsidRDefault="004B62AD" w:rsidP="002A10C7">
            <w:pPr>
              <w:jc w:val="right"/>
              <w:rPr>
                <w:rFonts w:ascii="Times New Roman" w:hAnsi="Times New Roman" w:cs="Times New Roman"/>
                <w:sz w:val="24"/>
                <w:szCs w:val="24"/>
              </w:rPr>
            </w:pPr>
            <w:r>
              <w:rPr>
                <w:rFonts w:ascii="Times New Roman" w:hAnsi="Times New Roman" w:cs="Times New Roman"/>
                <w:sz w:val="24"/>
                <w:szCs w:val="24"/>
              </w:rPr>
              <w:t>3,02%</w:t>
            </w:r>
          </w:p>
        </w:tc>
      </w:tr>
      <w:tr w:rsidR="006976B5" w:rsidTr="003854CF">
        <w:tc>
          <w:tcPr>
            <w:tcW w:w="4962" w:type="dxa"/>
          </w:tcPr>
          <w:p w:rsidR="006976B5" w:rsidRDefault="006976B5" w:rsidP="00645284">
            <w:pPr>
              <w:jc w:val="both"/>
              <w:rPr>
                <w:rFonts w:ascii="Times New Roman" w:hAnsi="Times New Roman" w:cs="Times New Roman"/>
                <w:sz w:val="24"/>
                <w:szCs w:val="24"/>
              </w:rPr>
            </w:pPr>
            <w:r>
              <w:rPr>
                <w:rFonts w:ascii="Times New Roman" w:hAnsi="Times New Roman" w:cs="Times New Roman"/>
                <w:sz w:val="24"/>
                <w:szCs w:val="24"/>
              </w:rPr>
              <w:t>Variação Média do IGPM</w:t>
            </w:r>
          </w:p>
        </w:tc>
        <w:tc>
          <w:tcPr>
            <w:tcW w:w="3543" w:type="dxa"/>
          </w:tcPr>
          <w:p w:rsidR="006976B5" w:rsidRDefault="004B62AD" w:rsidP="002A10C7">
            <w:pPr>
              <w:jc w:val="right"/>
              <w:rPr>
                <w:rFonts w:ascii="Times New Roman" w:hAnsi="Times New Roman" w:cs="Times New Roman"/>
                <w:sz w:val="24"/>
                <w:szCs w:val="24"/>
              </w:rPr>
            </w:pPr>
            <w:r>
              <w:rPr>
                <w:rFonts w:ascii="Times New Roman" w:hAnsi="Times New Roman" w:cs="Times New Roman"/>
                <w:sz w:val="24"/>
                <w:szCs w:val="24"/>
              </w:rPr>
              <w:t>4,26%</w:t>
            </w:r>
          </w:p>
        </w:tc>
      </w:tr>
      <w:tr w:rsidR="006976B5" w:rsidTr="003854CF">
        <w:tc>
          <w:tcPr>
            <w:tcW w:w="4962" w:type="dxa"/>
          </w:tcPr>
          <w:p w:rsidR="006976B5" w:rsidRDefault="006976B5" w:rsidP="00645284">
            <w:pPr>
              <w:jc w:val="both"/>
              <w:rPr>
                <w:rFonts w:ascii="Times New Roman" w:hAnsi="Times New Roman" w:cs="Times New Roman"/>
                <w:sz w:val="24"/>
                <w:szCs w:val="24"/>
              </w:rPr>
            </w:pPr>
            <w:r>
              <w:rPr>
                <w:rFonts w:ascii="Times New Roman" w:hAnsi="Times New Roman" w:cs="Times New Roman"/>
                <w:sz w:val="24"/>
                <w:szCs w:val="24"/>
              </w:rPr>
              <w:t>Variação Média do INPC</w:t>
            </w:r>
          </w:p>
        </w:tc>
        <w:tc>
          <w:tcPr>
            <w:tcW w:w="3543" w:type="dxa"/>
          </w:tcPr>
          <w:p w:rsidR="006976B5" w:rsidRDefault="004B62AD" w:rsidP="002A10C7">
            <w:pPr>
              <w:jc w:val="right"/>
              <w:rPr>
                <w:rFonts w:ascii="Times New Roman" w:hAnsi="Times New Roman" w:cs="Times New Roman"/>
                <w:sz w:val="24"/>
                <w:szCs w:val="24"/>
              </w:rPr>
            </w:pPr>
            <w:r>
              <w:rPr>
                <w:rFonts w:ascii="Times New Roman" w:hAnsi="Times New Roman" w:cs="Times New Roman"/>
                <w:sz w:val="24"/>
                <w:szCs w:val="24"/>
              </w:rPr>
              <w:t>3,09%</w:t>
            </w:r>
          </w:p>
        </w:tc>
      </w:tr>
      <w:tr w:rsidR="004B5120" w:rsidTr="003854CF">
        <w:tc>
          <w:tcPr>
            <w:tcW w:w="4962" w:type="dxa"/>
          </w:tcPr>
          <w:p w:rsidR="004B5120" w:rsidRDefault="004B5120" w:rsidP="00645284">
            <w:pPr>
              <w:jc w:val="both"/>
              <w:rPr>
                <w:rFonts w:ascii="Times New Roman" w:hAnsi="Times New Roman" w:cs="Times New Roman"/>
                <w:sz w:val="24"/>
                <w:szCs w:val="24"/>
              </w:rPr>
            </w:pPr>
            <w:r>
              <w:rPr>
                <w:rFonts w:ascii="Times New Roman" w:hAnsi="Times New Roman" w:cs="Times New Roman"/>
                <w:sz w:val="24"/>
                <w:szCs w:val="24"/>
              </w:rPr>
              <w:t>Crescimento do PIB</w:t>
            </w:r>
          </w:p>
        </w:tc>
        <w:tc>
          <w:tcPr>
            <w:tcW w:w="3543" w:type="dxa"/>
          </w:tcPr>
          <w:p w:rsidR="004B5120" w:rsidRDefault="004B62AD" w:rsidP="006976B5">
            <w:pPr>
              <w:jc w:val="right"/>
              <w:rPr>
                <w:rFonts w:ascii="Times New Roman" w:hAnsi="Times New Roman" w:cs="Times New Roman"/>
                <w:sz w:val="24"/>
                <w:szCs w:val="24"/>
              </w:rPr>
            </w:pPr>
            <w:r>
              <w:rPr>
                <w:rFonts w:ascii="Times New Roman" w:hAnsi="Times New Roman" w:cs="Times New Roman"/>
                <w:sz w:val="24"/>
                <w:szCs w:val="24"/>
              </w:rPr>
              <w:t>3,48%</w:t>
            </w:r>
          </w:p>
        </w:tc>
      </w:tr>
      <w:tr w:rsidR="004B5120" w:rsidTr="003854CF">
        <w:tc>
          <w:tcPr>
            <w:tcW w:w="4962" w:type="dxa"/>
          </w:tcPr>
          <w:p w:rsidR="004B5120" w:rsidRDefault="004B5120" w:rsidP="00645284">
            <w:pPr>
              <w:jc w:val="both"/>
              <w:rPr>
                <w:rFonts w:ascii="Times New Roman" w:hAnsi="Times New Roman" w:cs="Times New Roman"/>
                <w:sz w:val="24"/>
                <w:szCs w:val="24"/>
              </w:rPr>
            </w:pPr>
            <w:r>
              <w:rPr>
                <w:rFonts w:ascii="Times New Roman" w:hAnsi="Times New Roman" w:cs="Times New Roman"/>
                <w:sz w:val="24"/>
                <w:szCs w:val="24"/>
              </w:rPr>
              <w:t>Crescimento Vegetativo da Folha Salarial</w:t>
            </w:r>
          </w:p>
        </w:tc>
        <w:tc>
          <w:tcPr>
            <w:tcW w:w="3543" w:type="dxa"/>
          </w:tcPr>
          <w:p w:rsidR="004B5120" w:rsidRPr="003854CF" w:rsidRDefault="003854CF" w:rsidP="002A10C7">
            <w:pPr>
              <w:jc w:val="right"/>
              <w:rPr>
                <w:rFonts w:ascii="Times New Roman" w:hAnsi="Times New Roman" w:cs="Times New Roman"/>
              </w:rPr>
            </w:pPr>
            <w:r w:rsidRPr="003854CF">
              <w:rPr>
                <w:rFonts w:ascii="Times New Roman" w:hAnsi="Times New Roman" w:cs="Times New Roman"/>
              </w:rPr>
              <w:t>Em conformidade com LC 173/2020</w:t>
            </w:r>
          </w:p>
        </w:tc>
      </w:tr>
      <w:tr w:rsidR="004B5120" w:rsidTr="003854CF">
        <w:tc>
          <w:tcPr>
            <w:tcW w:w="4962" w:type="dxa"/>
          </w:tcPr>
          <w:p w:rsidR="004B5120" w:rsidRDefault="00A20509" w:rsidP="00A13317">
            <w:pPr>
              <w:jc w:val="both"/>
              <w:rPr>
                <w:rFonts w:ascii="Times New Roman" w:hAnsi="Times New Roman" w:cs="Times New Roman"/>
                <w:sz w:val="24"/>
                <w:szCs w:val="24"/>
              </w:rPr>
            </w:pPr>
            <w:r>
              <w:rPr>
                <w:rFonts w:ascii="Times New Roman" w:hAnsi="Times New Roman" w:cs="Times New Roman"/>
                <w:sz w:val="24"/>
                <w:szCs w:val="24"/>
              </w:rPr>
              <w:t xml:space="preserve">Aumento </w:t>
            </w:r>
            <w:r w:rsidR="00A13317">
              <w:rPr>
                <w:rFonts w:ascii="Times New Roman" w:hAnsi="Times New Roman" w:cs="Times New Roman"/>
                <w:sz w:val="24"/>
                <w:szCs w:val="24"/>
              </w:rPr>
              <w:t xml:space="preserve">Salário Mínimo </w:t>
            </w:r>
          </w:p>
        </w:tc>
        <w:tc>
          <w:tcPr>
            <w:tcW w:w="3543" w:type="dxa"/>
          </w:tcPr>
          <w:p w:rsidR="004B5120" w:rsidRDefault="004B62AD" w:rsidP="002A10C7">
            <w:pPr>
              <w:jc w:val="right"/>
              <w:rPr>
                <w:rFonts w:ascii="Times New Roman" w:hAnsi="Times New Roman" w:cs="Times New Roman"/>
                <w:sz w:val="24"/>
                <w:szCs w:val="24"/>
              </w:rPr>
            </w:pPr>
            <w:r>
              <w:rPr>
                <w:rFonts w:ascii="Times New Roman" w:hAnsi="Times New Roman" w:cs="Times New Roman"/>
                <w:sz w:val="24"/>
                <w:szCs w:val="24"/>
              </w:rPr>
              <w:t>2,10%</w:t>
            </w:r>
          </w:p>
        </w:tc>
      </w:tr>
      <w:tr w:rsidR="002A10C7" w:rsidTr="003854CF">
        <w:tc>
          <w:tcPr>
            <w:tcW w:w="4962" w:type="dxa"/>
          </w:tcPr>
          <w:p w:rsidR="002A10C7" w:rsidRDefault="002A10C7" w:rsidP="00645284">
            <w:pPr>
              <w:jc w:val="both"/>
              <w:rPr>
                <w:rFonts w:ascii="Times New Roman" w:hAnsi="Times New Roman" w:cs="Times New Roman"/>
                <w:sz w:val="24"/>
                <w:szCs w:val="24"/>
              </w:rPr>
            </w:pPr>
            <w:r>
              <w:rPr>
                <w:rFonts w:ascii="Times New Roman" w:hAnsi="Times New Roman" w:cs="Times New Roman"/>
                <w:sz w:val="24"/>
                <w:szCs w:val="24"/>
              </w:rPr>
              <w:t>Taxa Selic</w:t>
            </w:r>
          </w:p>
        </w:tc>
        <w:tc>
          <w:tcPr>
            <w:tcW w:w="3543" w:type="dxa"/>
          </w:tcPr>
          <w:p w:rsidR="002A10C7" w:rsidRDefault="004B62AD" w:rsidP="00B455B8">
            <w:pPr>
              <w:jc w:val="right"/>
              <w:rPr>
                <w:rFonts w:ascii="Times New Roman" w:hAnsi="Times New Roman" w:cs="Times New Roman"/>
                <w:sz w:val="24"/>
                <w:szCs w:val="24"/>
              </w:rPr>
            </w:pPr>
            <w:r>
              <w:rPr>
                <w:rFonts w:ascii="Times New Roman" w:hAnsi="Times New Roman" w:cs="Times New Roman"/>
                <w:sz w:val="24"/>
                <w:szCs w:val="24"/>
              </w:rPr>
              <w:t>2,23%</w:t>
            </w:r>
          </w:p>
        </w:tc>
      </w:tr>
    </w:tbl>
    <w:p w:rsidR="003854CF" w:rsidRPr="00CA0B08" w:rsidRDefault="00962F1C" w:rsidP="00CA0B08">
      <w:pPr>
        <w:pStyle w:val="SemEspaamento"/>
        <w:rPr>
          <w:sz w:val="16"/>
          <w:szCs w:val="16"/>
        </w:rPr>
      </w:pPr>
      <w:r>
        <w:t xml:space="preserve">          </w:t>
      </w:r>
      <w:r w:rsidRPr="00962F1C">
        <w:t xml:space="preserve">  </w:t>
      </w:r>
      <w:r w:rsidR="00CA0B08" w:rsidRPr="00CA0B08">
        <w:rPr>
          <w:sz w:val="16"/>
          <w:szCs w:val="16"/>
        </w:rPr>
        <w:t>Obs.:-</w:t>
      </w:r>
      <w:proofErr w:type="gramStart"/>
      <w:r w:rsidR="00CA0B08" w:rsidRPr="00CA0B08">
        <w:rPr>
          <w:sz w:val="16"/>
          <w:szCs w:val="16"/>
        </w:rPr>
        <w:t xml:space="preserve"> </w:t>
      </w:r>
      <w:r w:rsidRPr="00CA0B08">
        <w:rPr>
          <w:sz w:val="16"/>
          <w:szCs w:val="16"/>
        </w:rPr>
        <w:t xml:space="preserve"> </w:t>
      </w:r>
      <w:proofErr w:type="gramEnd"/>
      <w:r w:rsidRPr="00CA0B08">
        <w:rPr>
          <w:sz w:val="16"/>
          <w:szCs w:val="16"/>
        </w:rPr>
        <w:t xml:space="preserve">Fonte: </w:t>
      </w:r>
      <w:hyperlink r:id="rId5" w:history="1">
        <w:r w:rsidRPr="00CA0B08">
          <w:rPr>
            <w:rStyle w:val="Hyperlink"/>
            <w:rFonts w:ascii="Times New Roman" w:hAnsi="Times New Roman" w:cs="Times New Roman"/>
            <w:sz w:val="16"/>
            <w:szCs w:val="16"/>
          </w:rPr>
          <w:t>https://www3.bcb.gov.br/expectativas/publico/consulta/serieestatisticas</w:t>
        </w:r>
      </w:hyperlink>
      <w:r w:rsidRPr="00CA0B08">
        <w:rPr>
          <w:sz w:val="16"/>
          <w:szCs w:val="16"/>
        </w:rPr>
        <w:t xml:space="preserve">. </w:t>
      </w:r>
    </w:p>
    <w:p w:rsidR="00CA0B08" w:rsidRPr="00CA0B08" w:rsidRDefault="00CA0B08" w:rsidP="00CA0B08">
      <w:pPr>
        <w:pStyle w:val="SemEspaamento"/>
        <w:ind w:left="567" w:hanging="567"/>
        <w:rPr>
          <w:sz w:val="16"/>
          <w:szCs w:val="16"/>
        </w:rPr>
      </w:pPr>
      <w:r w:rsidRPr="00CA0B08">
        <w:rPr>
          <w:sz w:val="16"/>
          <w:szCs w:val="16"/>
        </w:rPr>
        <w:tab/>
        <w:t>- Outras informações</w:t>
      </w:r>
      <w:r>
        <w:rPr>
          <w:sz w:val="16"/>
          <w:szCs w:val="16"/>
        </w:rPr>
        <w:t xml:space="preserve"> descritas abaixo</w:t>
      </w:r>
      <w:r w:rsidRPr="00CA0B08">
        <w:rPr>
          <w:sz w:val="16"/>
          <w:szCs w:val="16"/>
        </w:rPr>
        <w:t xml:space="preserve">: </w:t>
      </w:r>
      <w:hyperlink r:id="rId6" w:history="1">
        <w:r w:rsidRPr="00CA0B08">
          <w:rPr>
            <w:rStyle w:val="Hyperlink"/>
            <w:rFonts w:ascii="Times New Roman" w:hAnsi="Times New Roman" w:cs="Times New Roman"/>
            <w:sz w:val="16"/>
            <w:szCs w:val="16"/>
          </w:rPr>
          <w:t>https://www.tesourotransparente.gov.br/publicações/previsão-anual-de-transferências</w:t>
        </w:r>
      </w:hyperlink>
      <w:r w:rsidRPr="00CA0B08">
        <w:rPr>
          <w:sz w:val="16"/>
          <w:szCs w:val="16"/>
        </w:rPr>
        <w:t xml:space="preserve"> e subsídios</w:t>
      </w:r>
      <w:proofErr w:type="gramStart"/>
      <w:r w:rsidRPr="00CA0B08">
        <w:rPr>
          <w:sz w:val="16"/>
          <w:szCs w:val="16"/>
        </w:rPr>
        <w:t xml:space="preserve"> </w:t>
      </w:r>
      <w:r>
        <w:rPr>
          <w:sz w:val="16"/>
          <w:szCs w:val="16"/>
        </w:rPr>
        <w:t xml:space="preserve"> </w:t>
      </w:r>
      <w:proofErr w:type="gramEnd"/>
      <w:r>
        <w:rPr>
          <w:sz w:val="16"/>
          <w:szCs w:val="16"/>
        </w:rPr>
        <w:t>fornecidos pela FAMURS e DPM.</w:t>
      </w:r>
    </w:p>
    <w:p w:rsidR="00CA0B08" w:rsidRPr="00CA0B08" w:rsidRDefault="00CA0B08" w:rsidP="00962F1C">
      <w:pPr>
        <w:ind w:left="567" w:hanging="567"/>
        <w:jc w:val="both"/>
        <w:rPr>
          <w:rFonts w:ascii="Times New Roman" w:hAnsi="Times New Roman" w:cs="Times New Roman"/>
          <w:sz w:val="16"/>
          <w:szCs w:val="16"/>
        </w:rPr>
      </w:pPr>
      <w:r w:rsidRPr="00CA0B08">
        <w:rPr>
          <w:rFonts w:ascii="Times New Roman" w:hAnsi="Times New Roman" w:cs="Times New Roman"/>
          <w:sz w:val="16"/>
          <w:szCs w:val="16"/>
        </w:rPr>
        <w:tab/>
      </w:r>
    </w:p>
    <w:p w:rsidR="00B51D74" w:rsidRDefault="00B51D74" w:rsidP="00645284">
      <w:pPr>
        <w:ind w:firstLine="708"/>
        <w:jc w:val="both"/>
        <w:rPr>
          <w:rFonts w:ascii="Times New Roman" w:hAnsi="Times New Roman" w:cs="Times New Roman"/>
          <w:sz w:val="24"/>
          <w:szCs w:val="24"/>
        </w:rPr>
      </w:pPr>
      <w:r>
        <w:rPr>
          <w:rFonts w:ascii="Times New Roman" w:hAnsi="Times New Roman" w:cs="Times New Roman"/>
          <w:sz w:val="24"/>
          <w:szCs w:val="24"/>
        </w:rPr>
        <w:t>As receitas próprias</w:t>
      </w:r>
      <w:r w:rsidR="007B3473">
        <w:rPr>
          <w:rFonts w:ascii="Times New Roman" w:hAnsi="Times New Roman" w:cs="Times New Roman"/>
          <w:sz w:val="24"/>
          <w:szCs w:val="24"/>
        </w:rPr>
        <w:t xml:space="preserve"> </w:t>
      </w:r>
      <w:r w:rsidR="00AE2005">
        <w:rPr>
          <w:rFonts w:ascii="Times New Roman" w:hAnsi="Times New Roman" w:cs="Times New Roman"/>
          <w:sz w:val="24"/>
          <w:szCs w:val="24"/>
        </w:rPr>
        <w:t>(IPTU, ISS, ITBI)</w:t>
      </w:r>
      <w:r>
        <w:rPr>
          <w:rFonts w:ascii="Times New Roman" w:hAnsi="Times New Roman" w:cs="Times New Roman"/>
          <w:sz w:val="24"/>
          <w:szCs w:val="24"/>
        </w:rPr>
        <w:t xml:space="preserve"> não terão crescimento acima da média, pois para isso ocorrer teria que haver recadastramento imobiliário e fiscal. </w:t>
      </w:r>
    </w:p>
    <w:p w:rsidR="00B51D74" w:rsidRDefault="00EF05ED" w:rsidP="00645284">
      <w:pPr>
        <w:ind w:firstLine="708"/>
        <w:jc w:val="both"/>
        <w:rPr>
          <w:rFonts w:ascii="Times New Roman" w:hAnsi="Times New Roman" w:cs="Times New Roman"/>
          <w:sz w:val="24"/>
          <w:szCs w:val="24"/>
        </w:rPr>
      </w:pPr>
      <w:r>
        <w:rPr>
          <w:rFonts w:ascii="Times New Roman" w:hAnsi="Times New Roman" w:cs="Times New Roman"/>
          <w:sz w:val="24"/>
          <w:szCs w:val="24"/>
        </w:rPr>
        <w:t xml:space="preserve">As transferências da receita IPVA, sempre possuem expectativa de melhoria, considerando que há mais veículos em circulação. </w:t>
      </w:r>
      <w:r w:rsidR="000A0312">
        <w:rPr>
          <w:rFonts w:ascii="Times New Roman" w:hAnsi="Times New Roman" w:cs="Times New Roman"/>
          <w:sz w:val="24"/>
          <w:szCs w:val="24"/>
        </w:rPr>
        <w:t>A proposta orçamentária estadual prevê</w:t>
      </w:r>
      <w:proofErr w:type="gramStart"/>
      <w:r w:rsidR="000A0312">
        <w:rPr>
          <w:rFonts w:ascii="Times New Roman" w:hAnsi="Times New Roman" w:cs="Times New Roman"/>
          <w:sz w:val="24"/>
          <w:szCs w:val="24"/>
        </w:rPr>
        <w:t xml:space="preserve">  </w:t>
      </w:r>
      <w:proofErr w:type="gramEnd"/>
      <w:r w:rsidR="000A0312">
        <w:rPr>
          <w:rFonts w:ascii="Times New Roman" w:hAnsi="Times New Roman" w:cs="Times New Roman"/>
          <w:sz w:val="24"/>
          <w:szCs w:val="24"/>
        </w:rPr>
        <w:t>um crescimento de 6% na arrecadação para 2021.</w:t>
      </w:r>
    </w:p>
    <w:p w:rsidR="00BD20A8" w:rsidRDefault="00BD20A8" w:rsidP="00E31026">
      <w:pPr>
        <w:ind w:firstLine="708"/>
        <w:jc w:val="both"/>
        <w:rPr>
          <w:rFonts w:ascii="Times New Roman" w:hAnsi="Times New Roman" w:cs="Times New Roman"/>
          <w:sz w:val="24"/>
          <w:szCs w:val="24"/>
        </w:rPr>
      </w:pPr>
    </w:p>
    <w:p w:rsidR="00BD20A8" w:rsidRDefault="00BD20A8" w:rsidP="00E31026">
      <w:pPr>
        <w:ind w:firstLine="708"/>
        <w:jc w:val="both"/>
        <w:rPr>
          <w:rFonts w:ascii="Times New Roman" w:hAnsi="Times New Roman" w:cs="Times New Roman"/>
          <w:sz w:val="24"/>
          <w:szCs w:val="24"/>
        </w:rPr>
      </w:pPr>
    </w:p>
    <w:p w:rsidR="00BD20A8" w:rsidRDefault="00BD20A8" w:rsidP="00E31026">
      <w:pPr>
        <w:ind w:firstLine="708"/>
        <w:jc w:val="both"/>
        <w:rPr>
          <w:rFonts w:ascii="Times New Roman" w:hAnsi="Times New Roman" w:cs="Times New Roman"/>
          <w:sz w:val="24"/>
          <w:szCs w:val="24"/>
        </w:rPr>
      </w:pPr>
    </w:p>
    <w:p w:rsidR="00E31026" w:rsidRDefault="00E31026" w:rsidP="00E31026">
      <w:pPr>
        <w:ind w:firstLine="708"/>
        <w:jc w:val="both"/>
        <w:rPr>
          <w:rFonts w:ascii="Times New Roman" w:hAnsi="Times New Roman" w:cs="Times New Roman"/>
          <w:sz w:val="24"/>
          <w:szCs w:val="24"/>
        </w:rPr>
      </w:pPr>
      <w:r>
        <w:rPr>
          <w:rFonts w:ascii="Times New Roman" w:hAnsi="Times New Roman" w:cs="Times New Roman"/>
          <w:sz w:val="24"/>
          <w:szCs w:val="24"/>
        </w:rPr>
        <w:t>O índice provisório de distribuição do ICMS, do Município, para 2021 foi publicado com o montante de 0,079827%, sendo este menor do que se apresenta em 2020 no índice de 0,081973 %.  Variação de – 2,614</w:t>
      </w:r>
      <w:r w:rsidR="00372F57">
        <w:rPr>
          <w:rFonts w:ascii="Times New Roman" w:hAnsi="Times New Roman" w:cs="Times New Roman"/>
          <w:sz w:val="24"/>
          <w:szCs w:val="24"/>
        </w:rPr>
        <w:t>%</w:t>
      </w:r>
      <w:r>
        <w:rPr>
          <w:rFonts w:ascii="Times New Roman" w:hAnsi="Times New Roman" w:cs="Times New Roman"/>
          <w:sz w:val="24"/>
          <w:szCs w:val="24"/>
        </w:rPr>
        <w:t>. Já a proposta Orçamentária apresentada pelo Governo do Estado prevê uma queda de 8% na arrecadação do ICMS de 2021, resultado do fim da majoração das alíquotas esse ano. Os números apresentados no Projeto de Lei não levam em conta as alterações apresentadas na Reforma Tributária, nem a prorrogação do aumento das alíquotas. Até a data de 22/09/2020 não havia definição de como será o comportamento de arrecadação do ICMS em 2021 no Estado.</w:t>
      </w:r>
    </w:p>
    <w:p w:rsidR="000A0312" w:rsidRDefault="000A0312" w:rsidP="00645284">
      <w:pPr>
        <w:ind w:firstLine="708"/>
        <w:jc w:val="both"/>
        <w:rPr>
          <w:rFonts w:ascii="Times New Roman" w:hAnsi="Times New Roman" w:cs="Times New Roman"/>
          <w:sz w:val="24"/>
          <w:szCs w:val="24"/>
        </w:rPr>
      </w:pPr>
      <w:r>
        <w:rPr>
          <w:rFonts w:ascii="Times New Roman" w:hAnsi="Times New Roman" w:cs="Times New Roman"/>
          <w:sz w:val="24"/>
          <w:szCs w:val="24"/>
        </w:rPr>
        <w:t>Em relação ao Fundo de Participação dos Município</w:t>
      </w:r>
      <w:r w:rsidR="00BD20A8">
        <w:rPr>
          <w:rFonts w:ascii="Times New Roman" w:hAnsi="Times New Roman" w:cs="Times New Roman"/>
          <w:sz w:val="24"/>
          <w:szCs w:val="24"/>
        </w:rPr>
        <w:t>s</w:t>
      </w:r>
      <w:r>
        <w:rPr>
          <w:rFonts w:ascii="Times New Roman" w:hAnsi="Times New Roman" w:cs="Times New Roman"/>
          <w:sz w:val="24"/>
          <w:szCs w:val="24"/>
        </w:rPr>
        <w:t>- FPM</w:t>
      </w:r>
      <w:r w:rsidR="00E31026">
        <w:rPr>
          <w:rFonts w:ascii="Times New Roman" w:hAnsi="Times New Roman" w:cs="Times New Roman"/>
          <w:sz w:val="24"/>
          <w:szCs w:val="24"/>
        </w:rPr>
        <w:t xml:space="preserve"> a Secretaria do Tesouro Nacional- STN, órgão responsável pelas previsões das Transferências Federais está projetando um crescimento de 6,5% para 2021.</w:t>
      </w:r>
    </w:p>
    <w:p w:rsidR="00EF05ED" w:rsidRDefault="00EF05ED" w:rsidP="00EF05ED">
      <w:pPr>
        <w:jc w:val="both"/>
        <w:rPr>
          <w:rFonts w:ascii="Times New Roman" w:hAnsi="Times New Roman" w:cs="Times New Roman"/>
          <w:sz w:val="24"/>
          <w:szCs w:val="24"/>
        </w:rPr>
      </w:pPr>
      <w:r>
        <w:rPr>
          <w:rFonts w:ascii="Times New Roman" w:hAnsi="Times New Roman" w:cs="Times New Roman"/>
          <w:sz w:val="24"/>
          <w:szCs w:val="24"/>
        </w:rPr>
        <w:t xml:space="preserve">          </w:t>
      </w:r>
      <w:r w:rsidRPr="00000778">
        <w:rPr>
          <w:rFonts w:ascii="Times New Roman" w:hAnsi="Times New Roman" w:cs="Times New Roman"/>
          <w:sz w:val="24"/>
          <w:szCs w:val="24"/>
        </w:rPr>
        <w:t>Os valores previstos para receitas e despesas com FUNDEB tem por base o número de alunos da educação básica</w:t>
      </w:r>
      <w:r w:rsidR="00F871B7">
        <w:rPr>
          <w:rFonts w:ascii="Times New Roman" w:hAnsi="Times New Roman" w:cs="Times New Roman"/>
          <w:sz w:val="24"/>
          <w:szCs w:val="24"/>
        </w:rPr>
        <w:t xml:space="preserve"> (</w:t>
      </w:r>
      <w:r w:rsidRPr="00000778">
        <w:rPr>
          <w:rFonts w:ascii="Times New Roman" w:hAnsi="Times New Roman" w:cs="Times New Roman"/>
          <w:sz w:val="24"/>
          <w:szCs w:val="24"/>
        </w:rPr>
        <w:t>ensino infantil e fundamental). De acordo com dados</w:t>
      </w:r>
      <w:r w:rsidR="001D4A55">
        <w:rPr>
          <w:rFonts w:ascii="Times New Roman" w:hAnsi="Times New Roman" w:cs="Times New Roman"/>
          <w:sz w:val="24"/>
          <w:szCs w:val="24"/>
        </w:rPr>
        <w:t xml:space="preserve"> do censo escolar realizado em 20</w:t>
      </w:r>
      <w:r w:rsidR="00CF12BD">
        <w:rPr>
          <w:rFonts w:ascii="Times New Roman" w:hAnsi="Times New Roman" w:cs="Times New Roman"/>
          <w:sz w:val="24"/>
          <w:szCs w:val="24"/>
        </w:rPr>
        <w:t>20</w:t>
      </w:r>
      <w:r w:rsidR="001D4A55">
        <w:rPr>
          <w:rFonts w:ascii="Times New Roman" w:hAnsi="Times New Roman" w:cs="Times New Roman"/>
          <w:sz w:val="24"/>
          <w:szCs w:val="24"/>
        </w:rPr>
        <w:t xml:space="preserve">, os alunos matriculados somam </w:t>
      </w:r>
      <w:r w:rsidR="00CF12BD">
        <w:rPr>
          <w:rFonts w:ascii="Times New Roman" w:hAnsi="Times New Roman" w:cs="Times New Roman"/>
          <w:sz w:val="24"/>
          <w:szCs w:val="24"/>
        </w:rPr>
        <w:t>647</w:t>
      </w:r>
      <w:r w:rsidR="001D4A55">
        <w:rPr>
          <w:rFonts w:ascii="Times New Roman" w:hAnsi="Times New Roman" w:cs="Times New Roman"/>
          <w:sz w:val="24"/>
          <w:szCs w:val="24"/>
        </w:rPr>
        <w:t>.</w:t>
      </w:r>
      <w:r w:rsidR="00CF12BD">
        <w:rPr>
          <w:rFonts w:ascii="Times New Roman" w:hAnsi="Times New Roman" w:cs="Times New Roman"/>
          <w:sz w:val="24"/>
          <w:szCs w:val="24"/>
        </w:rPr>
        <w:t xml:space="preserve"> Em relação ao censo escolar de 2019 há 13 alunos a menos matriculados. O FUNDEB criado em 2007 de forma temporária expiraria em </w:t>
      </w:r>
      <w:r w:rsidR="00482EEB">
        <w:rPr>
          <w:rFonts w:ascii="Times New Roman" w:hAnsi="Times New Roman" w:cs="Times New Roman"/>
          <w:sz w:val="24"/>
          <w:szCs w:val="24"/>
        </w:rPr>
        <w:t>31 de dezembro de 2020, mas tornou-se permanente pela Emenda Constitucional 108/2020.</w:t>
      </w:r>
      <w:r w:rsidR="000A0312">
        <w:rPr>
          <w:rFonts w:ascii="Times New Roman" w:hAnsi="Times New Roman" w:cs="Times New Roman"/>
          <w:sz w:val="24"/>
          <w:szCs w:val="24"/>
        </w:rPr>
        <w:t xml:space="preserve"> Para o cálculo individual, deve ser multiplicado o número de alunos de cada etapa de ensino pelo valor correspondente da quota aluno.</w:t>
      </w:r>
    </w:p>
    <w:p w:rsidR="00A13317" w:rsidRDefault="006E7D40" w:rsidP="001D4D9F">
      <w:pPr>
        <w:jc w:val="both"/>
        <w:rPr>
          <w:rFonts w:ascii="Times New Roman" w:hAnsi="Times New Roman" w:cs="Times New Roman"/>
          <w:sz w:val="24"/>
          <w:szCs w:val="24"/>
        </w:rPr>
      </w:pPr>
      <w:r>
        <w:rPr>
          <w:rFonts w:ascii="Times New Roman" w:hAnsi="Times New Roman" w:cs="Times New Roman"/>
          <w:sz w:val="24"/>
          <w:szCs w:val="24"/>
        </w:rPr>
        <w:tab/>
        <w:t xml:space="preserve">Outras transferências importantes são as do SUS, repassadas pelo Fundo Nacional de Saúde e Fundo Estadual de Saúde, bem como as destinadas à Assistência Social, repassadas pelo Fundo Nacional e Estadual de Assistência Social. </w:t>
      </w:r>
      <w:r w:rsidR="00C00EF6">
        <w:rPr>
          <w:rFonts w:ascii="Times New Roman" w:hAnsi="Times New Roman" w:cs="Times New Roman"/>
          <w:sz w:val="24"/>
          <w:szCs w:val="24"/>
        </w:rPr>
        <w:t xml:space="preserve">As previsões apontam para uma </w:t>
      </w:r>
      <w:r w:rsidR="00A13317">
        <w:rPr>
          <w:rFonts w:ascii="Times New Roman" w:hAnsi="Times New Roman" w:cs="Times New Roman"/>
          <w:sz w:val="24"/>
          <w:szCs w:val="24"/>
        </w:rPr>
        <w:t>estabilidade, ou seja, o valor repassado no próximo ano tende a manter-se nos mesmos patamares de 20</w:t>
      </w:r>
      <w:r w:rsidR="00372F57">
        <w:rPr>
          <w:rFonts w:ascii="Times New Roman" w:hAnsi="Times New Roman" w:cs="Times New Roman"/>
          <w:sz w:val="24"/>
          <w:szCs w:val="24"/>
        </w:rPr>
        <w:t>20</w:t>
      </w:r>
      <w:r w:rsidR="00A13317">
        <w:rPr>
          <w:rFonts w:ascii="Times New Roman" w:hAnsi="Times New Roman" w:cs="Times New Roman"/>
          <w:sz w:val="24"/>
          <w:szCs w:val="24"/>
        </w:rPr>
        <w:t>.</w:t>
      </w:r>
    </w:p>
    <w:p w:rsidR="00A13317" w:rsidRDefault="00A13317" w:rsidP="001D4D9F">
      <w:pPr>
        <w:jc w:val="both"/>
        <w:rPr>
          <w:rFonts w:ascii="Times New Roman" w:hAnsi="Times New Roman" w:cs="Times New Roman"/>
          <w:sz w:val="24"/>
          <w:szCs w:val="24"/>
        </w:rPr>
      </w:pPr>
      <w:r>
        <w:rPr>
          <w:rFonts w:ascii="Times New Roman" w:hAnsi="Times New Roman" w:cs="Times New Roman"/>
          <w:sz w:val="24"/>
          <w:szCs w:val="24"/>
        </w:rPr>
        <w:tab/>
        <w:t>Para as outras transferências legais</w:t>
      </w:r>
      <w:r w:rsidR="00E64803">
        <w:rPr>
          <w:rFonts w:ascii="Times New Roman" w:hAnsi="Times New Roman" w:cs="Times New Roman"/>
          <w:sz w:val="24"/>
          <w:szCs w:val="24"/>
        </w:rPr>
        <w:t xml:space="preserve"> </w:t>
      </w:r>
      <w:r>
        <w:rPr>
          <w:rFonts w:ascii="Times New Roman" w:hAnsi="Times New Roman" w:cs="Times New Roman"/>
          <w:sz w:val="24"/>
          <w:szCs w:val="24"/>
        </w:rPr>
        <w:t xml:space="preserve">(CIDE, </w:t>
      </w:r>
      <w:proofErr w:type="spellStart"/>
      <w:r>
        <w:rPr>
          <w:rFonts w:ascii="Times New Roman" w:hAnsi="Times New Roman" w:cs="Times New Roman"/>
          <w:sz w:val="24"/>
          <w:szCs w:val="24"/>
        </w:rPr>
        <w:t>Fex</w:t>
      </w:r>
      <w:proofErr w:type="spellEnd"/>
      <w:r>
        <w:rPr>
          <w:rFonts w:ascii="Times New Roman" w:hAnsi="Times New Roman" w:cs="Times New Roman"/>
          <w:sz w:val="24"/>
          <w:szCs w:val="24"/>
        </w:rPr>
        <w:t>, FNDE, FNAS e outras), a perspectiva é de estabilidade, ou seja, prevê-se uma variação em função dos índices inflacionários ou acompanhando a variação das receitas da União.</w:t>
      </w:r>
    </w:p>
    <w:p w:rsidR="00EF05ED" w:rsidRDefault="001D4D9F" w:rsidP="001D4D9F">
      <w:pPr>
        <w:jc w:val="both"/>
        <w:rPr>
          <w:rFonts w:ascii="Times New Roman" w:hAnsi="Times New Roman" w:cs="Times New Roman"/>
          <w:sz w:val="24"/>
          <w:szCs w:val="24"/>
        </w:rPr>
      </w:pPr>
      <w:r>
        <w:rPr>
          <w:rFonts w:ascii="Times New Roman" w:hAnsi="Times New Roman" w:cs="Times New Roman"/>
          <w:sz w:val="24"/>
          <w:szCs w:val="24"/>
        </w:rPr>
        <w:tab/>
      </w:r>
      <w:r w:rsidR="004E5377">
        <w:rPr>
          <w:rFonts w:ascii="Times New Roman" w:hAnsi="Times New Roman" w:cs="Times New Roman"/>
          <w:sz w:val="24"/>
          <w:szCs w:val="24"/>
        </w:rPr>
        <w:t xml:space="preserve">Nas transferências voluntárias correntes </w:t>
      </w:r>
      <w:r w:rsidR="00195387">
        <w:rPr>
          <w:rFonts w:ascii="Times New Roman" w:hAnsi="Times New Roman" w:cs="Times New Roman"/>
          <w:sz w:val="24"/>
          <w:szCs w:val="24"/>
        </w:rPr>
        <w:t xml:space="preserve">e de capital, a serem </w:t>
      </w:r>
      <w:proofErr w:type="gramStart"/>
      <w:r w:rsidR="00195387">
        <w:rPr>
          <w:rFonts w:ascii="Times New Roman" w:hAnsi="Times New Roman" w:cs="Times New Roman"/>
          <w:sz w:val="24"/>
          <w:szCs w:val="24"/>
        </w:rPr>
        <w:t>realizadas</w:t>
      </w:r>
      <w:proofErr w:type="gramEnd"/>
      <w:r w:rsidR="00195387">
        <w:rPr>
          <w:rFonts w:ascii="Times New Roman" w:hAnsi="Times New Roman" w:cs="Times New Roman"/>
          <w:sz w:val="24"/>
          <w:szCs w:val="24"/>
        </w:rPr>
        <w:t xml:space="preserve"> em 20</w:t>
      </w:r>
      <w:r w:rsidR="00CB31FA">
        <w:rPr>
          <w:rFonts w:ascii="Times New Roman" w:hAnsi="Times New Roman" w:cs="Times New Roman"/>
          <w:sz w:val="24"/>
          <w:szCs w:val="24"/>
        </w:rPr>
        <w:t>2</w:t>
      </w:r>
      <w:r w:rsidR="00E31026">
        <w:rPr>
          <w:rFonts w:ascii="Times New Roman" w:hAnsi="Times New Roman" w:cs="Times New Roman"/>
          <w:sz w:val="24"/>
          <w:szCs w:val="24"/>
        </w:rPr>
        <w:t>1</w:t>
      </w:r>
      <w:r w:rsidR="00195387">
        <w:rPr>
          <w:rFonts w:ascii="Times New Roman" w:hAnsi="Times New Roman" w:cs="Times New Roman"/>
          <w:sz w:val="24"/>
          <w:szCs w:val="24"/>
        </w:rPr>
        <w:t>, em função de auxílios, convênios e contratos de repasse, os valores irão depender dos projetos encaminhados</w:t>
      </w:r>
      <w:r w:rsidR="00E31026">
        <w:rPr>
          <w:rFonts w:ascii="Times New Roman" w:hAnsi="Times New Roman" w:cs="Times New Roman"/>
          <w:sz w:val="24"/>
          <w:szCs w:val="24"/>
        </w:rPr>
        <w:t xml:space="preserve"> e em execução</w:t>
      </w:r>
      <w:r w:rsidR="00195387">
        <w:rPr>
          <w:rFonts w:ascii="Times New Roman" w:hAnsi="Times New Roman" w:cs="Times New Roman"/>
          <w:sz w:val="24"/>
          <w:szCs w:val="24"/>
        </w:rPr>
        <w:t>.</w:t>
      </w:r>
    </w:p>
    <w:p w:rsidR="00EF05ED" w:rsidRDefault="00AE2005" w:rsidP="00AE2005">
      <w:pPr>
        <w:ind w:firstLine="708"/>
        <w:jc w:val="center"/>
        <w:rPr>
          <w:rFonts w:ascii="Times New Roman" w:hAnsi="Times New Roman" w:cs="Times New Roman"/>
          <w:sz w:val="24"/>
          <w:szCs w:val="24"/>
        </w:rPr>
      </w:pPr>
      <w:r>
        <w:rPr>
          <w:rFonts w:ascii="Times New Roman" w:hAnsi="Times New Roman" w:cs="Times New Roman"/>
          <w:sz w:val="24"/>
          <w:szCs w:val="24"/>
        </w:rPr>
        <w:t xml:space="preserve">Roque </w:t>
      </w:r>
      <w:proofErr w:type="spellStart"/>
      <w:r>
        <w:rPr>
          <w:rFonts w:ascii="Times New Roman" w:hAnsi="Times New Roman" w:cs="Times New Roman"/>
          <w:sz w:val="24"/>
          <w:szCs w:val="24"/>
        </w:rPr>
        <w:t>Gonzales</w:t>
      </w:r>
      <w:proofErr w:type="spellEnd"/>
      <w:r>
        <w:rPr>
          <w:rFonts w:ascii="Times New Roman" w:hAnsi="Times New Roman" w:cs="Times New Roman"/>
          <w:sz w:val="24"/>
          <w:szCs w:val="24"/>
        </w:rPr>
        <w:t xml:space="preserve">, </w:t>
      </w:r>
      <w:r w:rsidR="00E31026">
        <w:rPr>
          <w:rFonts w:ascii="Times New Roman" w:hAnsi="Times New Roman" w:cs="Times New Roman"/>
          <w:sz w:val="24"/>
          <w:szCs w:val="24"/>
        </w:rPr>
        <w:t>07</w:t>
      </w:r>
      <w:r w:rsidR="007A377D">
        <w:rPr>
          <w:rFonts w:ascii="Times New Roman" w:hAnsi="Times New Roman" w:cs="Times New Roman"/>
          <w:sz w:val="24"/>
          <w:szCs w:val="24"/>
        </w:rPr>
        <w:t xml:space="preserve"> </w:t>
      </w:r>
      <w:r w:rsidR="00C00EF6">
        <w:rPr>
          <w:rFonts w:ascii="Times New Roman" w:hAnsi="Times New Roman" w:cs="Times New Roman"/>
          <w:sz w:val="24"/>
          <w:szCs w:val="24"/>
        </w:rPr>
        <w:t>de outubro de 20</w:t>
      </w:r>
      <w:r w:rsidR="00E31026">
        <w:rPr>
          <w:rFonts w:ascii="Times New Roman" w:hAnsi="Times New Roman" w:cs="Times New Roman"/>
          <w:sz w:val="24"/>
          <w:szCs w:val="24"/>
        </w:rPr>
        <w:t>20</w:t>
      </w:r>
      <w:r>
        <w:rPr>
          <w:rFonts w:ascii="Times New Roman" w:hAnsi="Times New Roman" w:cs="Times New Roman"/>
          <w:sz w:val="24"/>
          <w:szCs w:val="24"/>
        </w:rPr>
        <w:t>.</w:t>
      </w:r>
    </w:p>
    <w:p w:rsidR="004B5120" w:rsidRDefault="004B5120" w:rsidP="00AE2005">
      <w:pPr>
        <w:pStyle w:val="SemEspaamento"/>
      </w:pPr>
    </w:p>
    <w:p w:rsidR="00E24C49" w:rsidRDefault="00E64803" w:rsidP="00E64803">
      <w:pPr>
        <w:pStyle w:val="SemEspaamento"/>
        <w:rPr>
          <w:rFonts w:ascii="Times New Roman" w:hAnsi="Times New Roman" w:cs="Times New Roman"/>
          <w:sz w:val="24"/>
          <w:szCs w:val="24"/>
        </w:rPr>
      </w:pPr>
      <w:r>
        <w:rPr>
          <w:rFonts w:ascii="Times New Roman" w:hAnsi="Times New Roman" w:cs="Times New Roman"/>
          <w:sz w:val="24"/>
          <w:szCs w:val="24"/>
        </w:rPr>
        <w:t xml:space="preserve">   </w:t>
      </w:r>
      <w:r w:rsidR="00531324">
        <w:rPr>
          <w:rFonts w:ascii="Times New Roman" w:hAnsi="Times New Roman" w:cs="Times New Roman"/>
          <w:sz w:val="24"/>
          <w:szCs w:val="24"/>
        </w:rPr>
        <w:t xml:space="preserve">    </w:t>
      </w:r>
      <w:r>
        <w:rPr>
          <w:rFonts w:ascii="Times New Roman" w:hAnsi="Times New Roman" w:cs="Times New Roman"/>
          <w:sz w:val="24"/>
          <w:szCs w:val="24"/>
        </w:rPr>
        <w:t xml:space="preserve"> João </w:t>
      </w:r>
      <w:proofErr w:type="spellStart"/>
      <w:r>
        <w:rPr>
          <w:rFonts w:ascii="Times New Roman" w:hAnsi="Times New Roman" w:cs="Times New Roman"/>
          <w:sz w:val="24"/>
          <w:szCs w:val="24"/>
        </w:rPr>
        <w:t>Scheeren</w:t>
      </w:r>
      <w:proofErr w:type="spellEnd"/>
      <w:r>
        <w:rPr>
          <w:rFonts w:ascii="Times New Roman" w:hAnsi="Times New Roman" w:cs="Times New Roman"/>
          <w:sz w:val="24"/>
          <w:szCs w:val="24"/>
        </w:rPr>
        <w:t xml:space="preserve"> Haas</w:t>
      </w:r>
      <w:r w:rsidR="00AE2005" w:rsidRPr="00E24C49">
        <w:rPr>
          <w:rFonts w:ascii="Times New Roman" w:hAnsi="Times New Roman" w:cs="Times New Roman"/>
          <w:sz w:val="24"/>
          <w:szCs w:val="24"/>
        </w:rPr>
        <w:tab/>
      </w:r>
      <w:r>
        <w:rPr>
          <w:rFonts w:ascii="Times New Roman" w:hAnsi="Times New Roman" w:cs="Times New Roman"/>
          <w:sz w:val="24"/>
          <w:szCs w:val="24"/>
        </w:rPr>
        <w:t xml:space="preserve">    </w:t>
      </w:r>
      <w:r w:rsidR="00531324">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E24C49" w:rsidRPr="00E24C49">
        <w:rPr>
          <w:rFonts w:ascii="Times New Roman" w:hAnsi="Times New Roman" w:cs="Times New Roman"/>
          <w:sz w:val="24"/>
          <w:szCs w:val="24"/>
        </w:rPr>
        <w:t>Luis</w:t>
      </w:r>
      <w:proofErr w:type="spellEnd"/>
      <w:r w:rsidR="00E24C49" w:rsidRPr="00E24C49">
        <w:rPr>
          <w:rFonts w:ascii="Times New Roman" w:hAnsi="Times New Roman" w:cs="Times New Roman"/>
          <w:sz w:val="24"/>
          <w:szCs w:val="24"/>
        </w:rPr>
        <w:t xml:space="preserve"> Carlos </w:t>
      </w:r>
      <w:proofErr w:type="spellStart"/>
      <w:r w:rsidR="00E24C49" w:rsidRPr="00E24C49">
        <w:rPr>
          <w:rFonts w:ascii="Times New Roman" w:hAnsi="Times New Roman" w:cs="Times New Roman"/>
          <w:sz w:val="24"/>
          <w:szCs w:val="24"/>
        </w:rPr>
        <w:t>Mallmann</w:t>
      </w:r>
      <w:proofErr w:type="spellEnd"/>
      <w:r w:rsidR="00E24C49" w:rsidRPr="00E24C49">
        <w:rPr>
          <w:rFonts w:ascii="Times New Roman" w:hAnsi="Times New Roman" w:cs="Times New Roman"/>
          <w:sz w:val="24"/>
          <w:szCs w:val="24"/>
        </w:rPr>
        <w:t xml:space="preserve">   </w:t>
      </w:r>
      <w:r w:rsidR="00AE2005" w:rsidRPr="00E24C49">
        <w:rPr>
          <w:rFonts w:ascii="Times New Roman" w:hAnsi="Times New Roman" w:cs="Times New Roman"/>
          <w:sz w:val="24"/>
          <w:szCs w:val="24"/>
        </w:rPr>
        <w:t xml:space="preserve">   </w:t>
      </w:r>
      <w:r>
        <w:rPr>
          <w:rFonts w:ascii="Times New Roman" w:hAnsi="Times New Roman" w:cs="Times New Roman"/>
          <w:sz w:val="24"/>
          <w:szCs w:val="24"/>
        </w:rPr>
        <w:t xml:space="preserve">   </w:t>
      </w:r>
      <w:r w:rsidR="00E24C49" w:rsidRPr="00E24C49">
        <w:rPr>
          <w:rFonts w:ascii="Times New Roman" w:hAnsi="Times New Roman" w:cs="Times New Roman"/>
          <w:sz w:val="24"/>
          <w:szCs w:val="24"/>
        </w:rPr>
        <w:t xml:space="preserve"> </w:t>
      </w:r>
      <w:r w:rsidR="00CB31FA">
        <w:rPr>
          <w:rFonts w:ascii="Times New Roman" w:hAnsi="Times New Roman" w:cs="Times New Roman"/>
          <w:sz w:val="24"/>
          <w:szCs w:val="24"/>
        </w:rPr>
        <w:t xml:space="preserve">      Viviane Maria Luft</w:t>
      </w:r>
    </w:p>
    <w:p w:rsidR="001333D0" w:rsidRPr="00E64803" w:rsidRDefault="00CB31FA" w:rsidP="00CB31FA">
      <w:pPr>
        <w:pStyle w:val="SemEspaamento"/>
        <w:rPr>
          <w:rFonts w:ascii="Times New Roman" w:hAnsi="Times New Roman" w:cs="Times New Roman"/>
          <w:sz w:val="24"/>
          <w:szCs w:val="24"/>
        </w:rPr>
      </w:pPr>
      <w:r>
        <w:rPr>
          <w:rFonts w:ascii="Times New Roman" w:hAnsi="Times New Roman" w:cs="Times New Roman"/>
          <w:sz w:val="24"/>
          <w:szCs w:val="24"/>
        </w:rPr>
        <w:t xml:space="preserve">         Prefeito Municipal </w:t>
      </w:r>
      <w:r w:rsidR="00E24C49" w:rsidRPr="00E24C49">
        <w:rPr>
          <w:rFonts w:ascii="Times New Roman" w:hAnsi="Times New Roman" w:cs="Times New Roman"/>
          <w:sz w:val="24"/>
          <w:szCs w:val="24"/>
        </w:rPr>
        <w:t xml:space="preserve">       </w:t>
      </w:r>
      <w:r>
        <w:rPr>
          <w:rFonts w:ascii="Times New Roman" w:hAnsi="Times New Roman" w:cs="Times New Roman"/>
          <w:sz w:val="24"/>
          <w:szCs w:val="24"/>
        </w:rPr>
        <w:t xml:space="preserve">        </w:t>
      </w:r>
      <w:r w:rsidR="00E24C49" w:rsidRPr="00E24C49">
        <w:rPr>
          <w:rFonts w:ascii="Times New Roman" w:hAnsi="Times New Roman" w:cs="Times New Roman"/>
          <w:sz w:val="24"/>
          <w:szCs w:val="24"/>
        </w:rPr>
        <w:t xml:space="preserve"> Secretá</w:t>
      </w:r>
      <w:r w:rsidR="00AE2005" w:rsidRPr="00E24C49">
        <w:rPr>
          <w:rFonts w:ascii="Times New Roman" w:hAnsi="Times New Roman" w:cs="Times New Roman"/>
          <w:sz w:val="24"/>
          <w:szCs w:val="24"/>
        </w:rPr>
        <w:t>ri</w:t>
      </w:r>
      <w:r w:rsidR="00E24C49" w:rsidRPr="00E24C49">
        <w:rPr>
          <w:rFonts w:ascii="Times New Roman" w:hAnsi="Times New Roman" w:cs="Times New Roman"/>
          <w:sz w:val="24"/>
          <w:szCs w:val="24"/>
        </w:rPr>
        <w:t>o</w:t>
      </w:r>
      <w:r w:rsidR="00AE2005" w:rsidRPr="00E24C49">
        <w:rPr>
          <w:rFonts w:ascii="Times New Roman" w:hAnsi="Times New Roman" w:cs="Times New Roman"/>
          <w:sz w:val="24"/>
          <w:szCs w:val="24"/>
        </w:rPr>
        <w:t xml:space="preserve"> de Finanças       </w:t>
      </w:r>
      <w:r w:rsidR="00E24C49">
        <w:rPr>
          <w:rFonts w:ascii="Times New Roman" w:hAnsi="Times New Roman" w:cs="Times New Roman"/>
          <w:sz w:val="24"/>
          <w:szCs w:val="24"/>
        </w:rPr>
        <w:t xml:space="preserve">  </w:t>
      </w:r>
      <w:r w:rsidR="00AE2005" w:rsidRPr="00E24C49">
        <w:rPr>
          <w:rFonts w:ascii="Times New Roman" w:hAnsi="Times New Roman" w:cs="Times New Roman"/>
          <w:sz w:val="24"/>
          <w:szCs w:val="24"/>
        </w:rPr>
        <w:t>Cont. CRC/RS</w:t>
      </w:r>
      <w:proofErr w:type="gramStart"/>
      <w:r w:rsidR="00AE2005" w:rsidRPr="00E24C4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070921/O-4</w:t>
      </w:r>
    </w:p>
    <w:sectPr w:rsidR="001333D0" w:rsidRPr="00E64803" w:rsidSect="00E64803">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3AC"/>
    <w:rsid w:val="00000778"/>
    <w:rsid w:val="00004760"/>
    <w:rsid w:val="000A0312"/>
    <w:rsid w:val="000C68F2"/>
    <w:rsid w:val="000F2023"/>
    <w:rsid w:val="001333D0"/>
    <w:rsid w:val="00155C65"/>
    <w:rsid w:val="0016310C"/>
    <w:rsid w:val="00174EF0"/>
    <w:rsid w:val="00195387"/>
    <w:rsid w:val="001D4A55"/>
    <w:rsid w:val="001D4D9F"/>
    <w:rsid w:val="002A10C7"/>
    <w:rsid w:val="002D73AC"/>
    <w:rsid w:val="002E06D3"/>
    <w:rsid w:val="00372F57"/>
    <w:rsid w:val="003854CF"/>
    <w:rsid w:val="003940AC"/>
    <w:rsid w:val="00482EEB"/>
    <w:rsid w:val="004B5120"/>
    <w:rsid w:val="004B62AD"/>
    <w:rsid w:val="004E5377"/>
    <w:rsid w:val="00505197"/>
    <w:rsid w:val="00531324"/>
    <w:rsid w:val="0053207E"/>
    <w:rsid w:val="005435F9"/>
    <w:rsid w:val="005F660C"/>
    <w:rsid w:val="00645284"/>
    <w:rsid w:val="00656E6D"/>
    <w:rsid w:val="006976B5"/>
    <w:rsid w:val="006E7D40"/>
    <w:rsid w:val="007017D5"/>
    <w:rsid w:val="00745F04"/>
    <w:rsid w:val="007A377D"/>
    <w:rsid w:val="007B3473"/>
    <w:rsid w:val="007F331B"/>
    <w:rsid w:val="007F677E"/>
    <w:rsid w:val="008729AB"/>
    <w:rsid w:val="008D36E7"/>
    <w:rsid w:val="009221DB"/>
    <w:rsid w:val="00962F1C"/>
    <w:rsid w:val="00A13317"/>
    <w:rsid w:val="00A20509"/>
    <w:rsid w:val="00A652CE"/>
    <w:rsid w:val="00AE2005"/>
    <w:rsid w:val="00AF6F3B"/>
    <w:rsid w:val="00B37DEF"/>
    <w:rsid w:val="00B455B8"/>
    <w:rsid w:val="00B51D74"/>
    <w:rsid w:val="00B97F2B"/>
    <w:rsid w:val="00BD20A8"/>
    <w:rsid w:val="00C00EF6"/>
    <w:rsid w:val="00C41CBC"/>
    <w:rsid w:val="00CA0B08"/>
    <w:rsid w:val="00CB31FA"/>
    <w:rsid w:val="00CB7C03"/>
    <w:rsid w:val="00CF12BD"/>
    <w:rsid w:val="00D6449B"/>
    <w:rsid w:val="00D8609D"/>
    <w:rsid w:val="00DD7B22"/>
    <w:rsid w:val="00DD7CE5"/>
    <w:rsid w:val="00E24C49"/>
    <w:rsid w:val="00E31026"/>
    <w:rsid w:val="00E32D07"/>
    <w:rsid w:val="00E64803"/>
    <w:rsid w:val="00E67034"/>
    <w:rsid w:val="00EF05ED"/>
    <w:rsid w:val="00F871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B5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953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5387"/>
    <w:rPr>
      <w:rFonts w:ascii="Tahoma" w:hAnsi="Tahoma" w:cs="Tahoma"/>
      <w:sz w:val="16"/>
      <w:szCs w:val="16"/>
    </w:rPr>
  </w:style>
  <w:style w:type="paragraph" w:styleId="SemEspaamento">
    <w:name w:val="No Spacing"/>
    <w:uiPriority w:val="1"/>
    <w:qFormat/>
    <w:rsid w:val="00AE2005"/>
    <w:pPr>
      <w:spacing w:after="0" w:line="240" w:lineRule="auto"/>
    </w:pPr>
  </w:style>
  <w:style w:type="character" w:styleId="Hyperlink">
    <w:name w:val="Hyperlink"/>
    <w:basedOn w:val="Fontepargpadro"/>
    <w:uiPriority w:val="99"/>
    <w:unhideWhenUsed/>
    <w:rsid w:val="00962F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B5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1953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5387"/>
    <w:rPr>
      <w:rFonts w:ascii="Tahoma" w:hAnsi="Tahoma" w:cs="Tahoma"/>
      <w:sz w:val="16"/>
      <w:szCs w:val="16"/>
    </w:rPr>
  </w:style>
  <w:style w:type="paragraph" w:styleId="SemEspaamento">
    <w:name w:val="No Spacing"/>
    <w:uiPriority w:val="1"/>
    <w:qFormat/>
    <w:rsid w:val="00AE2005"/>
    <w:pPr>
      <w:spacing w:after="0" w:line="240" w:lineRule="auto"/>
    </w:pPr>
  </w:style>
  <w:style w:type="character" w:styleId="Hyperlink">
    <w:name w:val="Hyperlink"/>
    <w:basedOn w:val="Fontepargpadro"/>
    <w:uiPriority w:val="99"/>
    <w:unhideWhenUsed/>
    <w:rsid w:val="00962F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esourotransparente.gov.br/publica&#231;&#245;es/previs&#227;o-anual-de-transfer&#234;ncias" TargetMode="External"/><Relationship Id="rId5" Type="http://schemas.openxmlformats.org/officeDocument/2006/relationships/hyperlink" Target="https://www3.bcb.gov.br/expectativas/publico/consulta/serieestatistica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2</Pages>
  <Words>739</Words>
  <Characters>3996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Fernando Angst</dc:creator>
  <cp:lastModifiedBy>Pedro Fernando Angst</cp:lastModifiedBy>
  <cp:revision>11</cp:revision>
  <cp:lastPrinted>2020-10-06T14:23:00Z</cp:lastPrinted>
  <dcterms:created xsi:type="dcterms:W3CDTF">2020-10-05T13:44:00Z</dcterms:created>
  <dcterms:modified xsi:type="dcterms:W3CDTF">2020-10-06T14:24:00Z</dcterms:modified>
</cp:coreProperties>
</file>